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5"/>
    <w:p>
      <w:pPr>
        <w:pStyle w:val="Heading1"/>
      </w:pPr>
      <w:r>
        <w:t xml:space="preserve">Homiletics Analysis: Matthew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25 is the concluding chapter of the Olivet Discourse (Matthew 24–25), Jesus’ extended teaching on the end of the age delivered to His disciples on the Mount of Olives. The chapter comprises three distinct but thematically unified units: the Parable of the Ten Virgins (vv. 1–13), the Parable of the Talents (vv. 14–30), and the Sheep and Goats Judgment (vv. 31–46). Taken together, these three units function as the culminating address of Jesus’ entire public teaching ministry in Matthew’s Gospel — immediately before the passion narrative begins in chapter 26.</w:t>
      </w:r>
    </w:p>
    <w:p>
      <w:pPr>
        <w:pStyle w:val="BodyText"/>
      </w:pPr>
      <w:r>
        <w:t xml:space="preserve">The Ten Virgins parable (vv. 1–13) presents ten women awaiting a bridegroom’s arrival for a wedding feast. Five are</w:t>
      </w:r>
      <w:r>
        <w:t xml:space="preserve"> </w:t>
      </w:r>
      <w:r>
        <w:rPr>
          <w:i/>
          <w:iCs/>
        </w:rPr>
        <w:t xml:space="preserve">phronimos</w:t>
      </w:r>
      <w:r>
        <w:t xml:space="preserve"> </w:t>
      </w:r>
      <w:r>
        <w:t xml:space="preserve">(wise, prudent) and five are</w:t>
      </w:r>
      <w:r>
        <w:t xml:space="preserve"> </w:t>
      </w:r>
      <w:r>
        <w:rPr>
          <w:i/>
          <w:iCs/>
        </w:rPr>
        <w:t xml:space="preserve">mōrai</w:t>
      </w:r>
      <w:r>
        <w:t xml:space="preserve"> </w:t>
      </w:r>
      <w:r>
        <w:t xml:space="preserve">(foolish). The difference is not enthusiasm, attendance, or intention — all ten brought lamps, all ten fell asleep — but preparedness: the wise brought oil; the foolish did not. When the bridegroom arrives unexpectedly at midnight, the unprepared five scramble to purchase oil and arrive after the door is shut. The bridegroom’s devastating verdict —</w:t>
      </w:r>
      <w:r>
        <w:t xml:space="preserve"> </w:t>
      </w:r>
      <w:r>
        <w:t xml:space="preserve">“I do not know you”</w:t>
      </w:r>
      <w:r>
        <w:t xml:space="preserve"> </w:t>
      </w:r>
      <w:r>
        <w:t xml:space="preserve">— closes the parable, followed by the command:</w:t>
      </w:r>
      <w:r>
        <w:t xml:space="preserve"> </w:t>
      </w:r>
      <w:r>
        <w:t xml:space="preserve">“Watch, therefore, for you know neither the day nor the hour.”</w:t>
      </w:r>
    </w:p>
    <w:p>
      <w:pPr>
        <w:pStyle w:val="BodyText"/>
      </w:pPr>
      <w:r>
        <w:t xml:space="preserve">The Talents parable (vv. 14–30) presents a master who entrusts three servants with sums of money — five talents, two, and one — before departing on a journey. On return, the first two servants have doubled their master’s investment and are received with identical commendation:</w:t>
      </w:r>
      <w:r>
        <w:t xml:space="preserve"> </w:t>
      </w:r>
      <w:r>
        <w:t xml:space="preserve">“Well done, good and faithful servant.”</w:t>
      </w:r>
      <w:r>
        <w:t xml:space="preserve"> </w:t>
      </w:r>
      <w:r>
        <w:t xml:space="preserve">The third servant, paralyzed by fear and a distorted view of the master as harsh, has buried his talent and returns only what he received. His talent is taken and given to the first servant; he himself is cast into outer darkness. The parable turns on the nature of faithful stewardship in the master’s absence and the theological root of failure: a false view of who the master is.</w:t>
      </w:r>
    </w:p>
    <w:p>
      <w:pPr>
        <w:pStyle w:val="BodyText"/>
      </w:pPr>
      <w:r>
        <w:t xml:space="preserve">The Sheep and Goats (vv. 31–46) is not technically a parable but an apocalyptic vision of the final judgment. The Son of Man arrives in glory, all nations are gathered, and the King separates them as a shepherd separates sheep from goats. The basis of judgment is the treatment of</w:t>
      </w:r>
      <w:r>
        <w:t xml:space="preserve"> </w:t>
      </w:r>
      <w:r>
        <w:t xml:space="preserve">“the least of these my brothers”</w:t>
      </w:r>
      <w:r>
        <w:t xml:space="preserve"> </w:t>
      </w:r>
      <w:r>
        <w:t xml:space="preserve">— feeding the hungry, welcoming the stranger, clothing the naked, visiting the sick and imprisoned. The righteous are surprised by their inclusion; the condemned are surprised by their exclusion. Both have apparently not made the accounting that the King is making. The passage ends with the double verdict of eternal life and eternal punishment.</w:t>
      </w:r>
    </w:p>
    <w:p>
      <w:pPr>
        <w:pStyle w:val="BodyText"/>
      </w:pPr>
      <w:r>
        <w:rPr>
          <w:b/>
          <w:bCs/>
        </w:rPr>
        <w:t xml:space="preserve">This Text — Intent</w:t>
      </w:r>
    </w:p>
    <w:p>
      <w:pPr>
        <w:pStyle w:val="BodyText"/>
      </w:pPr>
      <w:r>
        <w:t xml:space="preserve">Jesus is not principally teaching eschatology in Matthew 25 — He is producing urgency, faithfulness, and love in His disciples between the first and second comings. The three units work together as a single sustained appeal:</w:t>
      </w:r>
      <w:r>
        <w:t xml:space="preserve"> </w:t>
      </w:r>
      <w:r>
        <w:rPr>
          <w:i/>
          <w:iCs/>
        </w:rPr>
        <w:t xml:space="preserve">Do not be caught unprepared</w:t>
      </w:r>
      <w:r>
        <w:t xml:space="preserve"> </w:t>
      </w:r>
      <w:r>
        <w:t xml:space="preserve">(Virgins);</w:t>
      </w:r>
      <w:r>
        <w:t xml:space="preserve"> </w:t>
      </w:r>
      <w:r>
        <w:rPr>
          <w:i/>
          <w:iCs/>
        </w:rPr>
        <w:t xml:space="preserve">Do not waste the life and gifts entrusted to you by fear or passivity</w:t>
      </w:r>
      <w:r>
        <w:t xml:space="preserve"> </w:t>
      </w:r>
      <w:r>
        <w:t xml:space="preserve">(Talents);</w:t>
      </w:r>
      <w:r>
        <w:t xml:space="preserve"> </w:t>
      </w:r>
      <w:r>
        <w:rPr>
          <w:i/>
          <w:iCs/>
        </w:rPr>
        <w:t xml:space="preserve">Do not imagine that love for Christ can be separated from love for His people</w:t>
      </w:r>
      <w:r>
        <w:t xml:space="preserve"> </w:t>
      </w:r>
      <w:r>
        <w:t xml:space="preserve">(Sheep and Goats). God is seeking to awaken His people from the spiritual sleepiness, fear-driven passivity, and love-deficit that are the characteristic temptations of the long waiting period between the ascension and the return. The chapter as a whole is not primarily a window into future events but a mirror held up to the present condition of those who name themselves as Christ’s people.</w:t>
      </w:r>
    </w:p>
    <w:p>
      <w:r>
        <w:pict>
          <v:rect style="width:0;height:1.5pt" o:hralign="center" o:hrstd="t" o:hr="t"/>
        </w:pict>
      </w:r>
    </w:p>
    <w:p>
      <w:pPr>
        <w:pStyle w:val="FirstParagraph"/>
      </w:pPr>
      <w:r>
        <w:rPr>
          <w:b/>
          <w:bCs/>
        </w:rPr>
        <w:t xml:space="preserve">Subject Sentence:</w:t>
      </w:r>
      <w:r>
        <w:t xml:space="preserve"> </w:t>
      </w:r>
      <w:r>
        <w:t xml:space="preserve">Christ calls His people to alert, fruitful, love-driven readiness for His return.</w:t>
      </w:r>
    </w:p>
    <w:p>
      <w:r>
        <w:pict>
          <v:rect style="width:0;height:1.5pt" o:hralign="center" o:hrstd="t" o:hr="t"/>
        </w:pict>
      </w:r>
    </w:p>
    <w:p>
      <w:pPr>
        <w:pStyle w:val="FirstParagraph"/>
      </w:pPr>
      <w:r>
        <w:rPr>
          <w:b/>
          <w:bCs/>
        </w:rPr>
        <w:t xml:space="preserve">Primary Claim:</w:t>
      </w:r>
      <w:r>
        <w:t xml:space="preserve"> </w:t>
      </w:r>
      <w:r>
        <w:t xml:space="preserve">The returning King will not find preparedness, faithfulness, and love among His people automatically — they must be cultivated now, in the time of waiting, against the grain of complacency, fear, and indifference; and the chapter’s three movements are God’s sustained appeal to produce exactly that kind of people before the door is shut.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least of these my brothers”</w:t>
      </w:r>
      <w:r>
        <w:rPr>
          <w:b/>
          <w:bCs/>
        </w:rPr>
        <w:t xml:space="preserve"> </w:t>
      </w:r>
      <w:r>
        <w:rPr>
          <w:b/>
          <w:bCs/>
        </w:rPr>
        <w:t xml:space="preserve">(vv. 40, 45)</w:t>
      </w:r>
    </w:p>
    <w:p>
      <w:pPr>
        <w:pStyle w:val="BodyText"/>
      </w:pPr>
      <w:r>
        <w:t xml:space="preserve">This is the most contested interpretive question in the chapter. Three major readings compete.</w:t>
      </w:r>
    </w:p>
    <w:p>
      <w:pPr>
        <w:pStyle w:val="BodyText"/>
      </w:pPr>
      <w:r>
        <w:t xml:space="preserve">The</w:t>
      </w:r>
      <w:r>
        <w:t xml:space="preserve"> </w:t>
      </w:r>
      <w:r>
        <w:rPr>
          <w:i/>
          <w:iCs/>
        </w:rPr>
        <w:t xml:space="preserve">universal humanitarian</w:t>
      </w:r>
      <w:r>
        <w:t xml:space="preserve"> </w:t>
      </w:r>
      <w:r>
        <w:t xml:space="preserve">reading, common in liberal Protestant traditions and often adopted in popular preaching, treats</w:t>
      </w:r>
      <w:r>
        <w:t xml:space="preserve"> </w:t>
      </w:r>
      <w:r>
        <w:t xml:space="preserve">“the least of these”</w:t>
      </w:r>
      <w:r>
        <w:t xml:space="preserve"> </w:t>
      </w:r>
      <w:r>
        <w:t xml:space="preserve">as all suffering humanity — every hungry, poor, or imprisoned person in the world. On this reading, the passage teaches that Christ is mysteriously present in all human suffering, and care for suffering humanity</w:t>
      </w:r>
      <w:r>
        <w:t xml:space="preserve"> </w:t>
      </w:r>
      <w:r>
        <w:rPr>
          <w:i/>
          <w:iCs/>
        </w:rPr>
        <w:t xml:space="preserve">is</w:t>
      </w:r>
      <w:r>
        <w:t xml:space="preserve"> </w:t>
      </w:r>
      <w:r>
        <w:t xml:space="preserve">care for Christ. This reading generates significant social justice application and has rhetorical power.</w:t>
      </w:r>
    </w:p>
    <w:p>
      <w:pPr>
        <w:pStyle w:val="BodyText"/>
      </w:pPr>
      <w:r>
        <w:t xml:space="preserve">The</w:t>
      </w:r>
      <w:r>
        <w:t xml:space="preserve"> </w:t>
      </w:r>
      <w:r>
        <w:rPr>
          <w:i/>
          <w:iCs/>
        </w:rPr>
        <w:t xml:space="preserve">narrower identification with Christian brothers</w:t>
      </w:r>
      <w:r>
        <w:t xml:space="preserve"> </w:t>
      </w:r>
      <w:r>
        <w:t xml:space="preserve">reading, favored by Reformed and many evangelical interpreters (Carson, France, Blomberg), reads</w:t>
      </w:r>
      <w:r>
        <w:t xml:space="preserve"> </w:t>
      </w:r>
      <w:r>
        <w:t xml:space="preserve">“my brothers”</w:t>
      </w:r>
      <w:r>
        <w:t xml:space="preserve"> </w:t>
      </w:r>
      <w:r>
        <w:t xml:space="preserve">(</w:t>
      </w:r>
      <w:r>
        <w:rPr>
          <w:i/>
          <w:iCs/>
        </w:rPr>
        <w:t xml:space="preserve">adelphoi mou</w:t>
      </w:r>
      <w:r>
        <w:t xml:space="preserve">) as a specific reference to disciples — those who bear the name of Christ, often in vulnerability and need. The expression throughout Matthew consistently refers to Jesus’ disciples or fellow-believers, not humanity at large (see Matt. 12:48–50; 28:10). On this reading, the nations are judged by their response to Christian missionaries and disciples — a response that functions as a response to Christ Himself (see Matt. 10:40–42). This reading fits Matthew’s Christology and the missionary context of the Gospel.</w:t>
      </w:r>
    </w:p>
    <w:p>
      <w:pPr>
        <w:pStyle w:val="BodyText"/>
      </w:pPr>
      <w:r>
        <w:t xml:space="preserve">A third reading, common in Wesleyan/holiness and Catholic traditions, holds a mediating position:</w:t>
      </w:r>
      <w:r>
        <w:t xml:space="preserve"> </w:t>
      </w:r>
      <w:r>
        <w:t xml:space="preserve">“brothers”</w:t>
      </w:r>
      <w:r>
        <w:t xml:space="preserve"> </w:t>
      </w:r>
      <w:r>
        <w:t xml:space="preserve">may include the poor in the community of faith but extends outward in imitation-of-Christ fashion to all the poor. This softens the specific identification without dissolving it entirely.</w:t>
      </w:r>
    </w:p>
    <w:p>
      <w:pPr>
        <w:pStyle w:val="BodyText"/>
      </w:pPr>
      <w:r>
        <w:t xml:space="preserve">The Reformed reading is preferred: the grammatical weight of</w:t>
      </w:r>
      <w:r>
        <w:t xml:space="preserve"> </w:t>
      </w:r>
      <w:r>
        <w:rPr>
          <w:i/>
          <w:iCs/>
        </w:rPr>
        <w:t xml:space="preserve">adelphoi mou</w:t>
      </w:r>
      <w:r>
        <w:t xml:space="preserve"> </w:t>
      </w:r>
      <w:r>
        <w:t xml:space="preserve">in Matthew’s usage, the structural connection to the missionary discourse of Matthew 10, and the logic of the nations being judged</w:t>
      </w:r>
      <w:r>
        <w:t xml:space="preserve"> </w:t>
      </w:r>
      <w:r>
        <w:rPr>
          <w:i/>
          <w:iCs/>
        </w:rPr>
        <w:t xml:space="preserve">by their response to Christ’s emissaries</w:t>
      </w:r>
      <w:r>
        <w:t xml:space="preserve"> </w:t>
      </w:r>
      <w:r>
        <w:t xml:space="preserve">rather than by general humanitarian behavior — all favor the narrower reading. The universal humanitarian reading requires importing assumptions about Christ’s presence in generic human suffering that neither Matthew nor the broader New Testament canon supports in this form.</w:t>
      </w:r>
    </w:p>
    <w:p>
      <w:pPr>
        <w:pStyle w:val="BodyText"/>
      </w:pPr>
      <w:r>
        <w:t xml:space="preserve">However, the universal humanitarian reading’s</w:t>
      </w:r>
      <w:r>
        <w:t xml:space="preserve"> </w:t>
      </w:r>
      <w:r>
        <w:rPr>
          <w:i/>
          <w:iCs/>
        </w:rPr>
        <w:t xml:space="preserve">application instinct</w:t>
      </w:r>
      <w:r>
        <w:t xml:space="preserve"> </w:t>
      </w:r>
      <w:r>
        <w:t xml:space="preserve">— that love for Christ is never abstract and always attaches to concrete human need — retains practical value and should not be dismissed simply because the exegesis of this specific verse does not support its scope. The Reformed reading does not lead to indifference to general human need; it simply does not ground that concern in this particular text.</w:t>
      </w:r>
    </w:p>
    <w:p>
      <w:pPr>
        <w:pStyle w:val="BodyText"/>
      </w:pPr>
      <w:r>
        <w:rPr>
          <w:b/>
          <w:bCs/>
        </w:rPr>
        <w:t xml:space="preserve">The Talents parable — is it about spiritual gifts or about the gospel itself?</w:t>
      </w:r>
    </w:p>
    <w:p>
      <w:pPr>
        <w:pStyle w:val="BodyText"/>
      </w:pPr>
      <w:r>
        <w:t xml:space="preserve">A common misreading, especially in pragmatic evangelical and Baptist contexts, treats the Talents parable as straightforwardly about the utilization of natural gifts and abilities:</w:t>
      </w:r>
      <w:r>
        <w:t xml:space="preserve"> </w:t>
      </w:r>
      <w:r>
        <w:t xml:space="preserve">“God has given everyone talents; use them for Him.”</w:t>
      </w:r>
      <w:r>
        <w:t xml:space="preserve"> </w:t>
      </w:r>
      <w:r>
        <w:t xml:space="preserve">This reading is not entirely wrong in its application impulse but misidentifies the passage’s primary referent.</w:t>
      </w:r>
    </w:p>
    <w:p>
      <w:pPr>
        <w:pStyle w:val="BodyText"/>
      </w:pPr>
      <w:r>
        <w:t xml:space="preserve">The talent (</w:t>
      </w:r>
      <w:r>
        <w:rPr>
          <w:i/>
          <w:iCs/>
        </w:rPr>
        <w:t xml:space="preserve">talanton</w:t>
      </w:r>
      <w:r>
        <w:t xml:space="preserve">) is a monetary unit — a massive sum (one talent equaled roughly 20 years of a day-laborer’s wages). The parable is about stewardship of what the master has entrusted — a category that certainly includes gifts and abilities but is not limited to them and probably centers on the gospel itself, the mission of the kingdom, and the opportunity of the present age. The third servant’s failure is not simply underperformance but a theology of the master that produced paralysis — he was afraid, and his fear produced burial rather than deployment. The text connects false fear directly to unfaithfulness.</w:t>
      </w:r>
    </w:p>
    <w:p>
      <w:pPr>
        <w:pStyle w:val="BodyText"/>
      </w:pPr>
      <w:r>
        <w:t xml:space="preserve">The Reformed reading sees this as a parable about kingdom stewardship in the fullest sense — including the gospel, spiritual gifts, life opportunity, and the entire deposit entrusted by Christ to His servants during the time of His absence. Fear of the master is the diagnostic root of failure; a right understanding of the master (gracious, generous, genuinely pleased by return) produces faithful risk.</w:t>
      </w:r>
    </w:p>
    <w:p>
      <w:pPr>
        <w:pStyle w:val="BodyText"/>
      </w:pPr>
      <w:r>
        <w:rPr>
          <w:b/>
          <w:bCs/>
        </w:rPr>
        <w:t xml:space="preserve">The Ten Virgins — does</w:t>
      </w:r>
      <w:r>
        <w:rPr>
          <w:b/>
          <w:bCs/>
        </w:rPr>
        <w:t xml:space="preserve"> </w:t>
      </w:r>
      <w:r>
        <w:rPr>
          <w:b/>
          <w:bCs/>
        </w:rPr>
        <w:t xml:space="preserve">“falling asleep”</w:t>
      </w:r>
      <w:r>
        <w:rPr>
          <w:b/>
          <w:bCs/>
        </w:rPr>
        <w:t xml:space="preserve"> </w:t>
      </w:r>
      <w:r>
        <w:rPr>
          <w:b/>
          <w:bCs/>
        </w:rPr>
        <w:t xml:space="preserve">represent spiritual failure?</w:t>
      </w:r>
    </w:p>
    <w:p>
      <w:pPr>
        <w:pStyle w:val="BodyText"/>
      </w:pPr>
      <w:r>
        <w:t xml:space="preserve">Some interpreters, particularly in Wesleyan and revivalist traditions, treat the sleeping of all ten virgins (v. 5) as the point of contrast — the wise did not sleep while the foolish did. This reading uses the parable to warn against spiritual slumber specifically.</w:t>
      </w:r>
    </w:p>
    <w:p>
      <w:pPr>
        <w:pStyle w:val="BodyText"/>
      </w:pPr>
      <w:r>
        <w:t xml:space="preserve">The text does not support this reading. All ten virgins fell asleep (v. 5 —</w:t>
      </w:r>
      <w:r>
        <w:t xml:space="preserve"> </w:t>
      </w:r>
      <w:r>
        <w:rPr>
          <w:i/>
          <w:iCs/>
        </w:rPr>
        <w:t xml:space="preserve">enikasthasen pasai</w:t>
      </w:r>
      <w:r>
        <w:t xml:space="preserve">). The contrast is not between the awake and the asleep but between the prepared and the unprepared. Sleep is incidental. The diagnostic distinction is oil — readiness — not wakefulness during the wait. The command</w:t>
      </w:r>
      <w:r>
        <w:t xml:space="preserve"> </w:t>
      </w:r>
      <w:r>
        <w:t xml:space="preserve">“Watch”</w:t>
      </w:r>
      <w:r>
        <w:t xml:space="preserve"> </w:t>
      </w:r>
      <w:r>
        <w:t xml:space="preserve">(</w:t>
      </w:r>
      <w:r>
        <w:rPr>
          <w:i/>
          <w:iCs/>
        </w:rPr>
        <w:t xml:space="preserve">grēgoreite</w:t>
      </w:r>
      <w:r>
        <w:t xml:space="preserve">, v. 13) at the conclusion does not contradict this; it means</w:t>
      </w:r>
      <w:r>
        <w:t xml:space="preserve"> </w:t>
      </w:r>
      <w:r>
        <w:t xml:space="preserve">“be ready, be alert in the posture of preparedness,”</w:t>
      </w:r>
      <w:r>
        <w:t xml:space="preserve"> </w:t>
      </w:r>
      <w:r>
        <w:t xml:space="preserve">not</w:t>
      </w:r>
      <w:r>
        <w:t xml:space="preserve"> </w:t>
      </w:r>
      <w:r>
        <w:t xml:space="preserve">“do not sleep.”</w:t>
      </w:r>
      <w:r>
        <w:t xml:space="preserve"> </w:t>
      </w:r>
      <w:r>
        <w:t xml:space="preserve">Reducing the parable to a warning against spiritual sleepiness misses the primary point about readiness that cannot be borrowed or acquired at the last moment.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24:36–44</w:t>
      </w:r>
      <w:r>
        <w:t xml:space="preserve"> </w:t>
      </w:r>
      <w:r>
        <w:t xml:space="preserve">— The immediate preceding context:</w:t>
      </w:r>
      <w:r>
        <w:t xml:space="preserve"> </w:t>
      </w:r>
      <w:r>
        <w:t xml:space="preserve">“You do not know the day or the hour.”</w:t>
      </w:r>
      <w:r>
        <w:t xml:space="preserve"> </w:t>
      </w:r>
      <w:r>
        <w:t xml:space="preserve">Matthew 25 flows from and applies the eschatological uncertainty of chapter 24; the three parables flesh out what faithful waiting looks like when the timing is unknown.</w:t>
      </w:r>
    </w:p>
    <w:p>
      <w:pPr>
        <w:numPr>
          <w:ilvl w:val="0"/>
          <w:numId w:val="1001"/>
        </w:numPr>
      </w:pPr>
      <w:r>
        <w:rPr>
          <w:b/>
          <w:bCs/>
        </w:rPr>
        <w:t xml:space="preserve">Matthew 10:40–42</w:t>
      </w:r>
      <w:r>
        <w:t xml:space="preserve"> </w:t>
      </w:r>
      <w:r>
        <w:t xml:space="preserve">—</w:t>
      </w:r>
      <w:r>
        <w:t xml:space="preserve"> </w:t>
      </w:r>
      <w:r>
        <w:t xml:space="preserve">“Whoever receives you receives me.”</w:t>
      </w:r>
      <w:r>
        <w:t xml:space="preserve"> </w:t>
      </w:r>
      <w:r>
        <w:t xml:space="preserve">This is the structural precursor to the Sheep and Goats identification of Christ with His emissaries; the nations’ treatment of the least of Christ’s brothers is assessed as treatment of Christ Himself — a principle already established earlier in Matthew.</w:t>
      </w:r>
    </w:p>
    <w:p>
      <w:pPr>
        <w:numPr>
          <w:ilvl w:val="0"/>
          <w:numId w:val="1001"/>
        </w:numPr>
      </w:pPr>
      <w:r>
        <w:rPr>
          <w:b/>
          <w:bCs/>
        </w:rPr>
        <w:t xml:space="preserve">1 Corinthians 3:10–15</w:t>
      </w:r>
      <w:r>
        <w:t xml:space="preserve"> </w:t>
      </w:r>
      <w:r>
        <w:t xml:space="preserve">— The Day will disclose every person’s work; some will be saved</w:t>
      </w:r>
      <w:r>
        <w:t xml:space="preserve"> </w:t>
      </w:r>
      <w:r>
        <w:t xml:space="preserve">“as through fire.”</w:t>
      </w:r>
      <w:r>
        <w:t xml:space="preserve"> </w:t>
      </w:r>
      <w:r>
        <w:t xml:space="preserve">Paul’s judgment-of-works theology provides canonical grounding for the Talents parable — the question at the end is not entrance but accountability for what was entrusted.</w:t>
      </w:r>
    </w:p>
    <w:p>
      <w:pPr>
        <w:numPr>
          <w:ilvl w:val="0"/>
          <w:numId w:val="1001"/>
        </w:numPr>
      </w:pPr>
      <w:r>
        <w:rPr>
          <w:b/>
          <w:bCs/>
        </w:rPr>
        <w:t xml:space="preserve">2 Corinthians 5:9–10</w:t>
      </w:r>
      <w:r>
        <w:t xml:space="preserve"> </w:t>
      </w:r>
      <w:r>
        <w:t xml:space="preserve">—</w:t>
      </w:r>
      <w:r>
        <w:t xml:space="preserve"> </w:t>
      </w:r>
      <w:r>
        <w:t xml:space="preserve">“We must all appear before the judgment seat of Christ, so that each one may receive what is due for what he has done in the body.”</w:t>
      </w:r>
      <w:r>
        <w:t xml:space="preserve"> </w:t>
      </w:r>
      <w:r>
        <w:t xml:space="preserve">Paul’s explicit appeal to coming judgment as motivation for present faithfulness mirrors exactly what Jesus is doing in Matthew 25.</w:t>
      </w:r>
    </w:p>
    <w:p>
      <w:pPr>
        <w:numPr>
          <w:ilvl w:val="0"/>
          <w:numId w:val="1001"/>
        </w:numPr>
      </w:pPr>
      <w:r>
        <w:rPr>
          <w:b/>
          <w:bCs/>
        </w:rPr>
        <w:t xml:space="preserve">Revelation 19:6–9</w:t>
      </w:r>
      <w:r>
        <w:t xml:space="preserve"> </w:t>
      </w:r>
      <w:r>
        <w:t xml:space="preserve">— The wedding supper of the Lamb: the eschatological fulfillment of the wedding-feast imagery in the Virgins parable; the bride</w:t>
      </w:r>
      <w:r>
        <w:t xml:space="preserve"> </w:t>
      </w:r>
      <w:r>
        <w:t xml:space="preserve">“has made herself ready”</w:t>
      </w:r>
      <w:r>
        <w:t xml:space="preserve"> </w:t>
      </w:r>
      <w:r>
        <w:t xml:space="preserve">— a canonical echo of the readiness theme.</w:t>
      </w:r>
    </w:p>
    <w:p>
      <w:r>
        <w:pict>
          <v:rect style="width:0;height:1.5pt" o:hralign="center" o:hrstd="t" o:hr="t"/>
        </w:pict>
      </w:r>
    </w:p>
    <w:p>
      <w:pPr>
        <w:pStyle w:val="FirstParagraph"/>
      </w:pPr>
      <w:r>
        <w:rPr>
          <w:b/>
          <w:bCs/>
        </w:rPr>
        <w:t xml:space="preserve">Aim:</w:t>
      </w:r>
      <w:r>
        <w:t xml:space="preserve"> </w:t>
      </w:r>
      <w:r>
        <w:t xml:space="preserve">To move hearers from passive assumption that they are ready for Christ’s return to active, examined, specific engagement with whether they are living as prepared, faithful, and loving servants of the coming King.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w:t>
            </w:r>
            <w:r>
              <w:t xml:space="preserve"> </w:t>
            </w:r>
            <w:r>
              <w:t xml:space="preserve">“Then the kingdom of heaven will be like ten virgins who took their lamps and went to meet the bridegroom.”</w:t>
            </w:r>
          </w:p>
        </w:tc>
        <w:tc>
          <w:tcPr/>
          <w:p>
            <w:pPr>
              <w:pStyle w:val="Compact"/>
            </w:pPr>
            <w:r>
              <w:rPr>
                <w:i/>
                <w:iCs/>
              </w:rPr>
              <w:t xml:space="preserve">Tote</w:t>
            </w:r>
            <w:r>
              <w:t xml:space="preserve"> </w:t>
            </w:r>
            <w:r>
              <w:t xml:space="preserve">(</w:t>
            </w:r>
            <w:r>
              <w:t xml:space="preserve">“then”</w:t>
            </w:r>
            <w:r>
              <w:t xml:space="preserve">) connects directly to eschatological material in ch. 24. The kingdom is compared to the whole scenario, not to the individual characters.</w:t>
            </w:r>
          </w:p>
        </w:tc>
      </w:tr>
      <w:tr>
        <w:tc>
          <w:tcPr/>
          <w:p>
            <w:pPr>
              <w:pStyle w:val="Compact"/>
            </w:pPr>
            <w:r>
              <w:t xml:space="preserve">2–4</w:t>
            </w:r>
          </w:p>
        </w:tc>
        <w:tc>
          <w:tcPr/>
          <w:p>
            <w:pPr>
              <w:pStyle w:val="Compact"/>
            </w:pPr>
            <w:r>
              <w:t xml:space="preserve">The distinction established: five foolish (no extra oil), five wise (oil in flasks).</w:t>
            </w:r>
          </w:p>
        </w:tc>
        <w:tc>
          <w:tcPr/>
          <w:p>
            <w:pPr>
              <w:pStyle w:val="Compact"/>
            </w:pPr>
            <w:r>
              <w:t xml:space="preserve">The only difference is preparation. All ten are waiting; all ten have lamps; all ten intend to attend.</w:t>
            </w:r>
          </w:p>
        </w:tc>
      </w:tr>
      <w:tr>
        <w:tc>
          <w:tcPr/>
          <w:p>
            <w:pPr>
              <w:pStyle w:val="Compact"/>
            </w:pPr>
            <w:r>
              <w:t xml:space="preserve">5–7</w:t>
            </w:r>
          </w:p>
        </w:tc>
        <w:tc>
          <w:tcPr/>
          <w:p>
            <w:pPr>
              <w:pStyle w:val="Compact"/>
            </w:pPr>
            <w:r>
              <w:t xml:space="preserve">Bridegroom delayed; all ten fall asleep. At midnight the cry goes out; all ten rise.</w:t>
            </w:r>
          </w:p>
        </w:tc>
        <w:tc>
          <w:tcPr/>
          <w:p>
            <w:pPr>
              <w:pStyle w:val="Compact"/>
            </w:pPr>
            <w:r>
              <w:t xml:space="preserve">Sleep is universal — not the point of contrast. Delay (</w:t>
            </w:r>
            <w:r>
              <w:rPr>
                <w:i/>
                <w:iCs/>
              </w:rPr>
              <w:t xml:space="preserve">chronizō</w:t>
            </w:r>
            <w:r>
              <w:t xml:space="preserve">) is significant — the waiting period is extended.</w:t>
            </w:r>
          </w:p>
        </w:tc>
      </w:tr>
      <w:tr>
        <w:tc>
          <w:tcPr/>
          <w:p>
            <w:pPr>
              <w:pStyle w:val="Compact"/>
            </w:pPr>
            <w:r>
              <w:t xml:space="preserve">8–9</w:t>
            </w:r>
          </w:p>
        </w:tc>
        <w:tc>
          <w:tcPr/>
          <w:p>
            <w:pPr>
              <w:pStyle w:val="Compact"/>
            </w:pPr>
            <w:r>
              <w:t xml:space="preserve">Foolish ask for oil; wise refuse — not enough for both; go buy.</w:t>
            </w:r>
          </w:p>
        </w:tc>
        <w:tc>
          <w:tcPr/>
          <w:p>
            <w:pPr>
              <w:pStyle w:val="Compact"/>
            </w:pPr>
            <w:r>
              <w:t xml:space="preserve">Oil cannot be transferred. Readiness is not communal — it is personal and non-transferable.</w:t>
            </w:r>
          </w:p>
        </w:tc>
      </w:tr>
      <w:tr>
        <w:tc>
          <w:tcPr/>
          <w:p>
            <w:pPr>
              <w:pStyle w:val="Compact"/>
            </w:pPr>
            <w:r>
              <w:t xml:space="preserve">10</w:t>
            </w:r>
          </w:p>
        </w:tc>
        <w:tc>
          <w:tcPr/>
          <w:p>
            <w:pPr>
              <w:pStyle w:val="Compact"/>
            </w:pPr>
            <w:r>
              <w:t xml:space="preserve">The bridegroom comes; the ready enter; the door is shut.</w:t>
            </w:r>
          </w:p>
        </w:tc>
        <w:tc>
          <w:tcPr/>
          <w:p>
            <w:pPr>
              <w:pStyle w:val="Compact"/>
            </w:pPr>
            <w:r>
              <w:t xml:space="preserve">The door closing is the chapter’s first irreversible verdict.</w:t>
            </w:r>
          </w:p>
        </w:tc>
      </w:tr>
      <w:tr>
        <w:tc>
          <w:tcPr/>
          <w:p>
            <w:pPr>
              <w:pStyle w:val="Compact"/>
            </w:pPr>
            <w:r>
              <w:t xml:space="preserve">11–12</w:t>
            </w:r>
          </w:p>
        </w:tc>
        <w:tc>
          <w:tcPr/>
          <w:p>
            <w:pPr>
              <w:pStyle w:val="Compact"/>
            </w:pPr>
            <w:r>
              <w:t xml:space="preserve">Foolish arrive:</w:t>
            </w:r>
            <w:r>
              <w:t xml:space="preserve"> </w:t>
            </w:r>
            <w:r>
              <w:t xml:space="preserve">“Lord, Lord, open to us.”</w:t>
            </w:r>
            <w:r>
              <w:t xml:space="preserve"> </w:t>
            </w:r>
            <w:r>
              <w:t xml:space="preserve">Verdict:</w:t>
            </w:r>
            <w:r>
              <w:t xml:space="preserve"> </w:t>
            </w:r>
            <w:r>
              <w:t xml:space="preserve">“I do not know you.”</w:t>
            </w:r>
          </w:p>
        </w:tc>
        <w:tc>
          <w:tcPr/>
          <w:p>
            <w:pPr>
              <w:pStyle w:val="Compact"/>
            </w:pPr>
            <w:r>
              <w:t xml:space="preserve">The double</w:t>
            </w:r>
            <w:r>
              <w:t xml:space="preserve"> </w:t>
            </w:r>
            <w:r>
              <w:t xml:space="preserve">“Lord, Lord”</w:t>
            </w:r>
            <w:r>
              <w:t xml:space="preserve"> </w:t>
            </w:r>
            <w:r>
              <w:t xml:space="preserve">recalls Matt. 7:21–23 — the same verdict on those who had external association but not the internal reality.</w:t>
            </w:r>
          </w:p>
        </w:tc>
      </w:tr>
      <w:tr>
        <w:tc>
          <w:tcPr/>
          <w:p>
            <w:pPr>
              <w:pStyle w:val="Compact"/>
            </w:pPr>
            <w:r>
              <w:t xml:space="preserve">13</w:t>
            </w:r>
          </w:p>
        </w:tc>
        <w:tc>
          <w:tcPr/>
          <w:p>
            <w:pPr>
              <w:pStyle w:val="Compact"/>
            </w:pPr>
            <w:r>
              <w:t xml:space="preserve">Command:</w:t>
            </w:r>
            <w:r>
              <w:t xml:space="preserve"> </w:t>
            </w:r>
            <w:r>
              <w:t xml:space="preserve">“Watch, for you know neither the day nor the hour.”</w:t>
            </w:r>
          </w:p>
        </w:tc>
        <w:tc>
          <w:tcPr/>
          <w:p>
            <w:pPr>
              <w:pStyle w:val="Compact"/>
            </w:pPr>
            <w:r>
              <w:t xml:space="preserve">Bridges to the Talents parable.</w:t>
            </w:r>
            <w:r>
              <w:t xml:space="preserve"> </w:t>
            </w:r>
            <w:r>
              <w:rPr>
                <w:i/>
                <w:iCs/>
              </w:rPr>
              <w:t xml:space="preserve">Grēgoreite</w:t>
            </w:r>
            <w:r>
              <w:t xml:space="preserve"> </w:t>
            </w:r>
            <w:r>
              <w:t xml:space="preserve">= readiness-alertness, not mere wakefulness.</w:t>
            </w:r>
          </w:p>
        </w:tc>
      </w:tr>
      <w:tr>
        <w:tc>
          <w:tcPr/>
          <w:p>
            <w:pPr>
              <w:pStyle w:val="Compact"/>
            </w:pPr>
            <w:r>
              <w:t xml:space="preserve">14–15</w:t>
            </w:r>
          </w:p>
        </w:tc>
        <w:tc>
          <w:tcPr/>
          <w:p>
            <w:pPr>
              <w:pStyle w:val="Compact"/>
            </w:pPr>
            <w:r>
              <w:t xml:space="preserve">A man going on a journey entrusts property to three servants: 5 talents, 2, 1 —</w:t>
            </w:r>
            <w:r>
              <w:t xml:space="preserve"> </w:t>
            </w:r>
            <w:r>
              <w:t xml:space="preserve">“each according to his ability.”</w:t>
            </w:r>
          </w:p>
        </w:tc>
        <w:tc>
          <w:tcPr/>
          <w:p>
            <w:pPr>
              <w:pStyle w:val="Compact"/>
            </w:pPr>
            <w:r>
              <w:t xml:space="preserve">Differentiated gifting; all are entrusted. The master’s departure mirrors Christ’s ascension.</w:t>
            </w:r>
          </w:p>
        </w:tc>
      </w:tr>
      <w:tr>
        <w:tc>
          <w:tcPr/>
          <w:p>
            <w:pPr>
              <w:pStyle w:val="Compact"/>
            </w:pPr>
            <w:r>
              <w:t xml:space="preserve">16–17</w:t>
            </w:r>
          </w:p>
        </w:tc>
        <w:tc>
          <w:tcPr/>
          <w:p>
            <w:pPr>
              <w:pStyle w:val="Compact"/>
            </w:pPr>
            <w:r>
              <w:t xml:space="preserve">First two servants immediately trade and double their sums.</w:t>
            </w:r>
          </w:p>
        </w:tc>
        <w:tc>
          <w:tcPr/>
          <w:p>
            <w:pPr>
              <w:pStyle w:val="Compact"/>
            </w:pPr>
            <w:r>
              <w:rPr>
                <w:i/>
                <w:iCs/>
              </w:rPr>
              <w:t xml:space="preserve">Eutheōs</w:t>
            </w:r>
            <w:r>
              <w:t xml:space="preserve"> </w:t>
            </w:r>
            <w:r>
              <w:t xml:space="preserve">(</w:t>
            </w:r>
            <w:r>
              <w:t xml:space="preserve">“immediately”</w:t>
            </w:r>
            <w:r>
              <w:t xml:space="preserve">) — no delay, no hesitation, faithful deployment.</w:t>
            </w:r>
          </w:p>
        </w:tc>
      </w:tr>
      <w:tr>
        <w:tc>
          <w:tcPr/>
          <w:p>
            <w:pPr>
              <w:pStyle w:val="Compact"/>
            </w:pPr>
            <w:r>
              <w:t xml:space="preserve">18</w:t>
            </w:r>
          </w:p>
        </w:tc>
        <w:tc>
          <w:tcPr/>
          <w:p>
            <w:pPr>
              <w:pStyle w:val="Compact"/>
            </w:pPr>
            <w:r>
              <w:t xml:space="preserve">Third servant digs and buries the talent.</w:t>
            </w:r>
          </w:p>
        </w:tc>
        <w:tc>
          <w:tcPr/>
          <w:p>
            <w:pPr>
              <w:pStyle w:val="Compact"/>
            </w:pPr>
            <w:r>
              <w:t xml:space="preserve">Burial = paralysis through fear; opposite of deployment.</w:t>
            </w:r>
          </w:p>
        </w:tc>
      </w:tr>
      <w:tr>
        <w:tc>
          <w:tcPr/>
          <w:p>
            <w:pPr>
              <w:pStyle w:val="Compact"/>
            </w:pPr>
            <w:r>
              <w:t xml:space="preserve">19</w:t>
            </w:r>
          </w:p>
        </w:tc>
        <w:tc>
          <w:tcPr/>
          <w:p>
            <w:pPr>
              <w:pStyle w:val="Compact"/>
            </w:pPr>
            <w:r>
              <w:t xml:space="preserve">After a long time the master returns and settles accounts.</w:t>
            </w:r>
          </w:p>
        </w:tc>
        <w:tc>
          <w:tcPr/>
          <w:p>
            <w:pPr>
              <w:pStyle w:val="Compact"/>
            </w:pPr>
            <w:r>
              <w:t xml:space="preserve">Delay again (</w:t>
            </w:r>
            <w:r>
              <w:rPr>
                <w:i/>
                <w:iCs/>
              </w:rPr>
              <w:t xml:space="preserve">meta de polun chronon</w:t>
            </w:r>
            <w:r>
              <w:t xml:space="preserve">) — the waiting period is extended; accounting will come.</w:t>
            </w:r>
          </w:p>
        </w:tc>
      </w:tr>
      <w:tr>
        <w:tc>
          <w:tcPr/>
          <w:p>
            <w:pPr>
              <w:pStyle w:val="Compact"/>
            </w:pPr>
            <w:r>
              <w:t xml:space="preserve">20–23</w:t>
            </w:r>
          </w:p>
        </w:tc>
        <w:tc>
          <w:tcPr/>
          <w:p>
            <w:pPr>
              <w:pStyle w:val="Compact"/>
            </w:pPr>
            <w:r>
              <w:t xml:space="preserve">First two servants present doubled returns; receive identical commendation:</w:t>
            </w:r>
            <w:r>
              <w:t xml:space="preserve"> </w:t>
            </w:r>
            <w:r>
              <w:t xml:space="preserve">“Well done, good and faithful servant… enter into the joy of your master.”</w:t>
            </w:r>
          </w:p>
        </w:tc>
        <w:tc>
          <w:tcPr/>
          <w:p>
            <w:pPr>
              <w:pStyle w:val="Compact"/>
            </w:pPr>
            <w:r>
              <w:t xml:space="preserve">Quantity of return is proportional, not equal — faithfulness is measured against what was entrusted. The reward is the master’s own joy.</w:t>
            </w:r>
          </w:p>
        </w:tc>
      </w:tr>
      <w:tr>
        <w:tc>
          <w:tcPr/>
          <w:p>
            <w:pPr>
              <w:pStyle w:val="Compact"/>
            </w:pPr>
            <w:r>
              <w:t xml:space="preserve">24–25</w:t>
            </w:r>
          </w:p>
        </w:tc>
        <w:tc>
          <w:tcPr/>
          <w:p>
            <w:pPr>
              <w:pStyle w:val="Compact"/>
            </w:pPr>
            <w:r>
              <w:t xml:space="preserve">Third servant’s speech:</w:t>
            </w:r>
            <w:r>
              <w:t xml:space="preserve"> </w:t>
            </w:r>
            <w:r>
              <w:t xml:space="preserve">“I knew you to be a hard man… I was afraid and I hid your talent.”</w:t>
            </w:r>
          </w:p>
        </w:tc>
        <w:tc>
          <w:tcPr/>
          <w:p>
            <w:pPr>
              <w:pStyle w:val="Compact"/>
            </w:pPr>
            <w:r>
              <w:t xml:space="preserve">The diagnosis: a false, fearful theology of the master precedes and causes the failure. Knowing who the master actually is would have produced different behavior.</w:t>
            </w:r>
          </w:p>
        </w:tc>
      </w:tr>
      <w:tr>
        <w:tc>
          <w:tcPr/>
          <w:p>
            <w:pPr>
              <w:pStyle w:val="Compact"/>
            </w:pPr>
            <w:r>
              <w:t xml:space="preserve">26–27</w:t>
            </w:r>
          </w:p>
        </w:tc>
        <w:tc>
          <w:tcPr/>
          <w:p>
            <w:pPr>
              <w:pStyle w:val="Compact"/>
            </w:pPr>
            <w:r>
              <w:t xml:space="preserve">Master’s verdict:</w:t>
            </w:r>
            <w:r>
              <w:t xml:space="preserve"> </w:t>
            </w:r>
            <w:r>
              <w:t xml:space="preserve">“You wicked and slothful servant.”</w:t>
            </w:r>
            <w:r>
              <w:t xml:space="preserve"> </w:t>
            </w:r>
            <w:r>
              <w:t xml:space="preserve">Should have invested with bankers at minimum.</w:t>
            </w:r>
          </w:p>
        </w:tc>
        <w:tc>
          <w:tcPr/>
          <w:p>
            <w:pPr>
              <w:pStyle w:val="Compact"/>
            </w:pPr>
            <w:r>
              <w:t xml:space="preserve">The master’s response does not vindicate the servant’s theology — he does not confirm that he is</w:t>
            </w:r>
            <w:r>
              <w:t xml:space="preserve"> </w:t>
            </w:r>
            <w:r>
              <w:t xml:space="preserve">“hard.”</w:t>
            </w:r>
          </w:p>
        </w:tc>
      </w:tr>
      <w:tr>
        <w:tc>
          <w:tcPr/>
          <w:p>
            <w:pPr>
              <w:pStyle w:val="Compact"/>
            </w:pPr>
            <w:r>
              <w:t xml:space="preserve">28–30</w:t>
            </w:r>
          </w:p>
        </w:tc>
        <w:tc>
          <w:tcPr/>
          <w:p>
            <w:pPr>
              <w:pStyle w:val="Compact"/>
            </w:pPr>
            <w:r>
              <w:t xml:space="preserve">Talent taken and given to the first servant; servant cast into outer darkness.</w:t>
            </w:r>
          </w:p>
        </w:tc>
        <w:tc>
          <w:tcPr/>
          <w:p>
            <w:pPr>
              <w:pStyle w:val="Compact"/>
            </w:pPr>
            <w:r>
              <w:t xml:space="preserve">The economics of the kingdom: fruitfulness generates more; hoarding loses what it has. Outer darkness = same language as eternal exclusion.</w:t>
            </w:r>
          </w:p>
        </w:tc>
      </w:tr>
      <w:tr>
        <w:tc>
          <w:tcPr/>
          <w:p>
            <w:pPr>
              <w:pStyle w:val="Compact"/>
            </w:pPr>
            <w:r>
              <w:t xml:space="preserve">31</w:t>
            </w:r>
          </w:p>
        </w:tc>
        <w:tc>
          <w:tcPr/>
          <w:p>
            <w:pPr>
              <w:pStyle w:val="Compact"/>
            </w:pPr>
            <w:r>
              <w:t xml:space="preserve">The Son of Man comes in glory with the angels; He sits on His glorious throne.</w:t>
            </w:r>
          </w:p>
        </w:tc>
        <w:tc>
          <w:tcPr/>
          <w:p>
            <w:pPr>
              <w:pStyle w:val="Compact"/>
            </w:pPr>
            <w:r>
              <w:t xml:space="preserve">Eschatological advent — this is the return, not an intermediate judgment. The full Trinitarian/divine authority of the Son of Man is in view.</w:t>
            </w:r>
          </w:p>
        </w:tc>
      </w:tr>
      <w:tr>
        <w:tc>
          <w:tcPr/>
          <w:p>
            <w:pPr>
              <w:pStyle w:val="Compact"/>
            </w:pPr>
            <w:r>
              <w:t xml:space="preserve">32–33</w:t>
            </w:r>
          </w:p>
        </w:tc>
        <w:tc>
          <w:tcPr/>
          <w:p>
            <w:pPr>
              <w:pStyle w:val="Compact"/>
            </w:pPr>
            <w:r>
              <w:t xml:space="preserve">All nations gathered; sheep separated from goats as a shepherd separates.</w:t>
            </w:r>
          </w:p>
        </w:tc>
        <w:tc>
          <w:tcPr/>
          <w:p>
            <w:pPr>
              <w:pStyle w:val="Compact"/>
            </w:pPr>
            <w:r>
              <w:rPr>
                <w:i/>
                <w:iCs/>
              </w:rPr>
              <w:t xml:space="preserve">Panta ta ethnē</w:t>
            </w:r>
            <w:r>
              <w:t xml:space="preserve"> </w:t>
            </w:r>
            <w:r>
              <w:t xml:space="preserve">—</w:t>
            </w:r>
            <w:r>
              <w:t xml:space="preserve"> </w:t>
            </w:r>
            <w:r>
              <w:t xml:space="preserve">“all nations”</w:t>
            </w:r>
            <w:r>
              <w:t xml:space="preserve">; this is universal final judgment. Sheep/goats: in Palestine they grazed together and were sorted at night.</w:t>
            </w:r>
          </w:p>
        </w:tc>
      </w:tr>
      <w:tr>
        <w:tc>
          <w:tcPr/>
          <w:p>
            <w:pPr>
              <w:pStyle w:val="Compact"/>
            </w:pPr>
            <w:r>
              <w:t xml:space="preserve">34–36</w:t>
            </w:r>
          </w:p>
        </w:tc>
        <w:tc>
          <w:tcPr/>
          <w:p>
            <w:pPr>
              <w:pStyle w:val="Compact"/>
            </w:pPr>
            <w:r>
              <w:t xml:space="preserve">The King speaks to the righteous (</w:t>
            </w:r>
            <w:r>
              <w:t xml:space="preserve">“sheep”</w:t>
            </w:r>
            <w:r>
              <w:t xml:space="preserve">):</w:t>
            </w:r>
            <w:r>
              <w:t xml:space="preserve"> </w:t>
            </w:r>
            <w:r>
              <w:t xml:space="preserve">“Come, you who are blessed by my Father, inherit the kingdom prepared for you from the foundation of the world.”</w:t>
            </w:r>
            <w:r>
              <w:t xml:space="preserve"> </w:t>
            </w:r>
            <w:r>
              <w:t xml:space="preserve">Basis: fed, gave drink, welcomed, clothed, visited the sick and imprisoned.</w:t>
            </w:r>
          </w:p>
        </w:tc>
        <w:tc>
          <w:tcPr/>
          <w:p>
            <w:pPr>
              <w:pStyle w:val="Compact"/>
            </w:pPr>
            <w:r>
              <w:t xml:space="preserve">“Prepared from the foundation”</w:t>
            </w:r>
            <w:r>
              <w:t xml:space="preserve"> </w:t>
            </w:r>
            <w:r>
              <w:t xml:space="preserve">— the kingdom is not earned but inherited; the works are the evidence of inheritance, not its basis. Election language is present.</w:t>
            </w:r>
          </w:p>
        </w:tc>
      </w:tr>
      <w:tr>
        <w:tc>
          <w:tcPr/>
          <w:p>
            <w:pPr>
              <w:pStyle w:val="Compact"/>
            </w:pPr>
            <w:r>
              <w:t xml:space="preserve">37–39</w:t>
            </w:r>
          </w:p>
        </w:tc>
        <w:tc>
          <w:tcPr/>
          <w:p>
            <w:pPr>
              <w:pStyle w:val="Compact"/>
            </w:pPr>
            <w:r>
              <w:t xml:space="preserve">The righteous are surprised:</w:t>
            </w:r>
            <w:r>
              <w:t xml:space="preserve"> </w:t>
            </w:r>
            <w:r>
              <w:t xml:space="preserve">“When did we see you hungry… and feed you?”</w:t>
            </w:r>
          </w:p>
        </w:tc>
        <w:tc>
          <w:tcPr/>
          <w:p>
            <w:pPr>
              <w:pStyle w:val="Compact"/>
            </w:pPr>
            <w:r>
              <w:t xml:space="preserve">The genuineness of their love: they did not act with calculated eschatological awareness but out of authentic care.</w:t>
            </w:r>
          </w:p>
        </w:tc>
      </w:tr>
      <w:tr>
        <w:tc>
          <w:tcPr/>
          <w:p>
            <w:pPr>
              <w:pStyle w:val="Compact"/>
            </w:pPr>
            <w:r>
              <w:t xml:space="preserve">40</w:t>
            </w:r>
          </w:p>
        </w:tc>
        <w:tc>
          <w:tcPr/>
          <w:p>
            <w:pPr>
              <w:pStyle w:val="Compact"/>
            </w:pPr>
            <w:r>
              <w:t xml:space="preserve">The King’s answer:</w:t>
            </w:r>
            <w:r>
              <w:t xml:space="preserve"> </w:t>
            </w:r>
            <w:r>
              <w:t xml:space="preserve">“As you did it to one of the least of these my brothers, you did it to me.”</w:t>
            </w:r>
          </w:p>
        </w:tc>
        <w:tc>
          <w:tcPr/>
          <w:p>
            <w:pPr>
              <w:pStyle w:val="Compact"/>
            </w:pPr>
            <w:r>
              <w:t xml:space="preserve">The identification of Christ with His people (</w:t>
            </w:r>
            <w:r>
              <w:t xml:space="preserve">“my brothers”</w:t>
            </w:r>
            <w:r>
              <w:t xml:space="preserve">) is the theological hinge of the entire section.</w:t>
            </w:r>
          </w:p>
        </w:tc>
      </w:tr>
      <w:tr>
        <w:tc>
          <w:tcPr/>
          <w:p>
            <w:pPr>
              <w:pStyle w:val="Compact"/>
            </w:pPr>
            <w:r>
              <w:t xml:space="preserve">41–43</w:t>
            </w:r>
          </w:p>
        </w:tc>
        <w:tc>
          <w:tcPr/>
          <w:p>
            <w:pPr>
              <w:pStyle w:val="Compact"/>
            </w:pPr>
            <w:r>
              <w:t xml:space="preserve">The King speaks to the condemned (</w:t>
            </w:r>
            <w:r>
              <w:t xml:space="preserve">“goats”</w:t>
            </w:r>
            <w:r>
              <w:t xml:space="preserve">):</w:t>
            </w:r>
            <w:r>
              <w:t xml:space="preserve"> </w:t>
            </w:r>
            <w:r>
              <w:t xml:space="preserve">“Depart from me, you cursed, into the eternal fire prepared for the devil and his angels.”</w:t>
            </w:r>
            <w:r>
              <w:t xml:space="preserve"> </w:t>
            </w:r>
            <w:r>
              <w:t xml:space="preserve">The same list of needs — not met.</w:t>
            </w:r>
          </w:p>
        </w:tc>
        <w:tc>
          <w:tcPr/>
          <w:p>
            <w:pPr>
              <w:pStyle w:val="Compact"/>
            </w:pPr>
            <w:r>
              <w:t xml:space="preserve">The fire was prepared for the devil — not originally for humans; condemnation is not God’s design for humanity but the result of identification with the adversary through rejection of Christ’s people.</w:t>
            </w:r>
          </w:p>
        </w:tc>
      </w:tr>
      <w:tr>
        <w:tc>
          <w:tcPr/>
          <w:p>
            <w:pPr>
              <w:pStyle w:val="Compact"/>
            </w:pPr>
            <w:r>
              <w:t xml:space="preserve">44–45</w:t>
            </w:r>
          </w:p>
        </w:tc>
        <w:tc>
          <w:tcPr/>
          <w:p>
            <w:pPr>
              <w:pStyle w:val="Compact"/>
            </w:pPr>
            <w:r>
              <w:t xml:space="preserve">The condemned are also surprised:</w:t>
            </w:r>
            <w:r>
              <w:t xml:space="preserve"> </w:t>
            </w:r>
            <w:r>
              <w:t xml:space="preserve">“When did we see you…?”</w:t>
            </w:r>
            <w:r>
              <w:t xml:space="preserve"> </w:t>
            </w:r>
            <w:r>
              <w:t xml:space="preserve">Verdict:</w:t>
            </w:r>
            <w:r>
              <w:t xml:space="preserve"> </w:t>
            </w:r>
            <w:r>
              <w:t xml:space="preserve">“As you did not do it to one of the least of these, you did not do it to me.”</w:t>
            </w:r>
          </w:p>
        </w:tc>
        <w:tc>
          <w:tcPr/>
          <w:p>
            <w:pPr>
              <w:pStyle w:val="Compact"/>
            </w:pPr>
            <w:r>
              <w:t xml:space="preserve">Symmetry of surprise: neither group was calculating. The condemned did not deliberately ignore Christ — they ignored His people and thus, Him.</w:t>
            </w:r>
          </w:p>
        </w:tc>
      </w:tr>
      <w:tr>
        <w:tc>
          <w:tcPr/>
          <w:p>
            <w:pPr>
              <w:pStyle w:val="Compact"/>
            </w:pPr>
            <w:r>
              <w:t xml:space="preserve">46</w:t>
            </w:r>
          </w:p>
        </w:tc>
        <w:tc>
          <w:tcPr/>
          <w:p>
            <w:pPr>
              <w:pStyle w:val="Compact"/>
            </w:pPr>
            <w:r>
              <w:t xml:space="preserve">Final double verdict:</w:t>
            </w:r>
            <w:r>
              <w:t xml:space="preserve"> </w:t>
            </w:r>
            <w:r>
              <w:t xml:space="preserve">“These will go away into eternal punishment, but the righteous into eternal life.”</w:t>
            </w:r>
          </w:p>
        </w:tc>
        <w:tc>
          <w:tcPr/>
          <w:p>
            <w:pPr>
              <w:pStyle w:val="Compact"/>
            </w:pPr>
            <w:r>
              <w:rPr>
                <w:i/>
                <w:iCs/>
              </w:rPr>
              <w:t xml:space="preserve">Kolasin aiōnion</w:t>
            </w:r>
            <w:r>
              <w:t xml:space="preserve"> </w:t>
            </w:r>
            <w:r>
              <w:t xml:space="preserve">and</w:t>
            </w:r>
            <w:r>
              <w:t xml:space="preserve"> </w:t>
            </w:r>
            <w:r>
              <w:rPr>
                <w:i/>
                <w:iCs/>
              </w:rPr>
              <w:t xml:space="preserve">zōēn aiōnion</w:t>
            </w:r>
            <w:r>
              <w:t xml:space="preserve"> </w:t>
            </w:r>
            <w:r>
              <w:t xml:space="preserve">— the same adjective (</w:t>
            </w:r>
            <w:r>
              <w:rPr>
                <w:i/>
                <w:iCs/>
              </w:rPr>
              <w:t xml:space="preserve">aiōnion</w:t>
            </w:r>
            <w:r>
              <w:t xml:space="preserve">) governs both outcomes; both are equally permanent.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Parable of the Ten Virgins: Preparedness That Cannot Be Borrowed</w:t>
            </w:r>
          </w:p>
        </w:tc>
      </w:tr>
      <w:tr>
        <w:tc>
          <w:tcPr/>
          <w:p>
            <w:pPr>
              <w:pStyle w:val="Compact"/>
            </w:pPr>
            <w:r>
              <w:t xml:space="preserve">2</w:t>
            </w:r>
          </w:p>
        </w:tc>
        <w:tc>
          <w:tcPr/>
          <w:p>
            <w:pPr>
              <w:pStyle w:val="Compact"/>
            </w:pPr>
            <w:r>
              <w:t xml:space="preserve">14–30</w:t>
            </w:r>
          </w:p>
        </w:tc>
        <w:tc>
          <w:tcPr/>
          <w:p>
            <w:pPr>
              <w:pStyle w:val="Compact"/>
            </w:pPr>
            <w:r>
              <w:t xml:space="preserve">The Parable of the Talents: Faithfulness That Cannot Be Recovered After the Accounting</w:t>
            </w:r>
          </w:p>
        </w:tc>
      </w:tr>
      <w:tr>
        <w:tc>
          <w:tcPr/>
          <w:p>
            <w:pPr>
              <w:pStyle w:val="Compact"/>
            </w:pPr>
            <w:r>
              <w:t xml:space="preserve">3</w:t>
            </w:r>
          </w:p>
        </w:tc>
        <w:tc>
          <w:tcPr/>
          <w:p>
            <w:pPr>
              <w:pStyle w:val="Compact"/>
            </w:pPr>
            <w:r>
              <w:t xml:space="preserve">31–46</w:t>
            </w:r>
          </w:p>
        </w:tc>
        <w:tc>
          <w:tcPr/>
          <w:p>
            <w:pPr>
              <w:pStyle w:val="Compact"/>
            </w:pPr>
            <w:r>
              <w:t xml:space="preserve">The Sheep and the Goats: Love That Cannot Be Faked Before the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 calls His people to alert, fruitful, love-driven readiness for His return.</w:t>
      </w:r>
    </w:p>
    <w:p>
      <w:pPr>
        <w:pStyle w:val="BodyText"/>
      </w:pPr>
      <w:r>
        <w:rPr>
          <w:b/>
          <w:bCs/>
        </w:rPr>
        <w:t xml:space="preserve">Primary Claim:</w:t>
      </w:r>
      <w:r>
        <w:t xml:space="preserve"> </w:t>
      </w:r>
      <w:r>
        <w:t xml:space="preserve">The returning King will not find preparedness, faithfulness, and love among His people automatically — they must be cultivated now, in the time of waiting, against the grain of complacency, fear, and indifference; and the chapter’s three movements are God’s sustained appeal to produce exactly that kind of people before the door is shut.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readiness for Christ’s return is real or assumed.</w:t>
      </w:r>
      <w:r>
        <w:t xml:space="preserve"> </w:t>
      </w:r>
      <w:r>
        <w:rPr>
          <w:i/>
          <w:iCs/>
        </w:rPr>
        <w:t xml:space="preserve">(Mind/belief)</w:t>
      </w:r>
      <w:r>
        <w:t xml:space="preserve"> </w:t>
      </w:r>
      <w:r>
        <w:t xml:space="preserve">The five foolish virgins were not insincere — they came, they waited, they had lamps. What they lacked was something that cannot be acquired at the last moment and cannot be borrowed from someone else. Readiness for Christ is not accumulated at a crisis point; it is grown in the ordinary seasons of waiting. The time to ask whether your faith is genuinely oil-bearing — not just lamp-carrying — is before midnight, not after the door has shut. Examine your life not at the level of external association with Christ but at the level of the internal reality that only the coming of the bridegroom will finally expose.</w:t>
      </w:r>
    </w:p>
    <w:p>
      <w:pPr>
        <w:pStyle w:val="BodyText"/>
      </w:pPr>
      <w:r>
        <w:rPr>
          <w:b/>
          <w:bCs/>
        </w:rPr>
        <w:t xml:space="preserve">2. Identify specifically what fear of God is causing you to bury rather than deploy.</w:t>
      </w:r>
      <w:r>
        <w:t xml:space="preserve"> </w:t>
      </w:r>
      <w:r>
        <w:rPr>
          <w:i/>
          <w:iCs/>
        </w:rPr>
        <w:t xml:space="preserve">(Affections/worship)</w:t>
      </w:r>
      <w:r>
        <w:t xml:space="preserve"> </w:t>
      </w:r>
      <w:r>
        <w:t xml:space="preserve">The third servant’s failure was not laziness — it was theology. He believed the master was harsh, demanding, and unkind, and that belief produced burial. Many Christians are living with a buried talent right now, and the diagnostic root is the same: a false view of the master. If you believe God is waiting for you to fail, that His approval is conditional on performance, that the risk of deployment is greater than the risk of burial — you have the third servant’s theology. The invitation here is not</w:t>
      </w:r>
      <w:r>
        <w:t xml:space="preserve"> </w:t>
      </w:r>
      <w:r>
        <w:t xml:space="preserve">“try harder”</w:t>
      </w:r>
      <w:r>
        <w:t xml:space="preserve"> </w:t>
      </w:r>
      <w:r>
        <w:t xml:space="preserve">but</w:t>
      </w:r>
      <w:r>
        <w:t xml:space="preserve"> </w:t>
      </w:r>
      <w:r>
        <w:t xml:space="preserve">“know your master better.”</w:t>
      </w:r>
      <w:r>
        <w:t xml:space="preserve"> </w:t>
      </w:r>
      <w:r>
        <w:t xml:space="preserve">A right view of Christ’s generosity and genuine pleasure in fruitful return is what unlocks faithful risk.</w:t>
      </w:r>
    </w:p>
    <w:p>
      <w:pPr>
        <w:pStyle w:val="BodyText"/>
      </w:pPr>
      <w:r>
        <w:rPr>
          <w:b/>
          <w:bCs/>
        </w:rPr>
        <w:t xml:space="preserve">3. Stop treating love for Christ’s people as optional or secondary.</w:t>
      </w:r>
      <w:r>
        <w:t xml:space="preserve"> </w:t>
      </w:r>
      <w:r>
        <w:rPr>
          <w:i/>
          <w:iCs/>
        </w:rPr>
        <w:t xml:space="preserve">(Will/behavior)</w:t>
      </w:r>
      <w:r>
        <w:t xml:space="preserve"> </w:t>
      </w:r>
      <w:r>
        <w:t xml:space="preserve">The Sheep and Goats makes clear that love for Christ that does not attach itself to concrete care for Christ’s brothers is not, in the King’s accounting, love for Christ at all. This is not an add-on to the Christian life — it is the visible form that love for an invisible King necessarily takes in a world where His people are hungry, sick, imprisoned, and in need of welcome. Identify someone in your church community or gospel-ministry network who is in specific, concrete need right now — and meet that need, not as an eschatological calculation but as the overflow of love for the King who identifies Himself with them.</w:t>
      </w:r>
    </w:p>
    <w:p>
      <w:pPr>
        <w:pStyle w:val="BodyText"/>
      </w:pPr>
      <w:r>
        <w:rPr>
          <w:b/>
          <w:bCs/>
        </w:rPr>
        <w:t xml:space="preserve">4. Feel the weight of the King’s verdict as a present, not merely future, reality.</w:t>
      </w:r>
      <w:r>
        <w:t xml:space="preserve"> </w:t>
      </w:r>
      <w:r>
        <w:rPr>
          <w:i/>
          <w:iCs/>
        </w:rPr>
        <w:t xml:space="preserve">(Affections/worship)</w:t>
      </w:r>
      <w:r>
        <w:t xml:space="preserve"> </w:t>
      </w:r>
      <w:r>
        <w:t xml:space="preserve">Matthew 25 is designed to produce a kind of holy urgency — not neurotic anxiety but the alert attention of someone who knows that the accounting is coming and that it will be real. Both the sheep and the goats were surprised. Neither group was watching the ledger. The difference was the quality and direction of their actual lives, not their eschatological awareness. Allow the finality of</w:t>
      </w:r>
      <w:r>
        <w:t xml:space="preserve"> </w:t>
      </w:r>
      <w:r>
        <w:t xml:space="preserve">“depart from me”</w:t>
      </w:r>
      <w:r>
        <w:t xml:space="preserve"> </w:t>
      </w:r>
      <w:r>
        <w:t xml:space="preserve">and the glory of</w:t>
      </w:r>
      <w:r>
        <w:t xml:space="preserve"> </w:t>
      </w:r>
      <w:r>
        <w:t xml:space="preserve">“come, you who are blessed”</w:t>
      </w:r>
      <w:r>
        <w:t xml:space="preserve"> </w:t>
      </w:r>
      <w:r>
        <w:t xml:space="preserve">to land as present-tense motivators — not threats to manipulate but realities to reckon with while there is still time.</w:t>
      </w:r>
    </w:p>
    <w:p>
      <w:pPr>
        <w:pStyle w:val="BodyText"/>
      </w:pPr>
      <w:r>
        <w:rPr>
          <w:b/>
          <w:bCs/>
        </w:rPr>
        <w:t xml:space="preserve">5. Invest your life — time, gifts, resources, gospel witness — with the expectation that the master will return and receive an accounting.</w:t>
      </w:r>
      <w:r>
        <w:t xml:space="preserve"> </w:t>
      </w:r>
      <w:r>
        <w:rPr>
          <w:i/>
          <w:iCs/>
        </w:rPr>
        <w:t xml:space="preserve">(Will/behavior)</w:t>
      </w:r>
      <w:r>
        <w:t xml:space="preserve"> </w:t>
      </w:r>
      <w:r>
        <w:t xml:space="preserve">The master in the Talents parable did not ask the servants to preserve the capital safely — he asked them to deploy it. The Christian life in the period between Christ’s ascension and return is not a holding pattern; it is an investment period. What have you been entrusted with — gospel relationships, financial resources, spiritual gifts, spheres of influence, time — that you are currently burying rather than deploying? The accounting is coming. The question is not whether you will appear before the master but what you will have to show. The first two servants answered with joy, not fear, because they had used the waiting period well.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25 teaches that the returning Christ is not merely a theological category but an actual King whose verdict is the final and determinative accounting of every human life. The chapter reveals that Christ’s reign is both present (He has entrusted His people with goods, with His brothers, with the time of waiting) and coming (He will return in glory, settle every account, and render the irreversible verdicts of eternal life and eternal punishment). The passage establishes that final judgment is both comprehensive (</w:t>
      </w:r>
      <w:r>
        <w:rPr>
          <w:i/>
          <w:iCs/>
        </w:rPr>
        <w:t xml:space="preserve">all nations</w:t>
      </w:r>
      <w:r>
        <w:t xml:space="preserve">) and specific (the treatment of the hungry, the stranger, the sick, the imprisoned); that the kingdom is inherited, not earned, but that genuine inheritance produces visible fruit; and that love for Christ and love for His people are not two commandments but one. The eternality of both outcomes in verse 46 — the same word</w:t>
      </w:r>
      <w:r>
        <w:t xml:space="preserve"> </w:t>
      </w:r>
      <w:r>
        <w:rPr>
          <w:i/>
          <w:iCs/>
        </w:rPr>
        <w:t xml:space="preserve">aiōnion</w:t>
      </w:r>
      <w:r>
        <w:t xml:space="preserve"> </w:t>
      </w:r>
      <w:r>
        <w:t xml:space="preserve">governing both punishment and life — establishes that the stakes of the present moment of waiting are absolute and permanent.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25 is a critical passage for Reformed theology’s integration of eschatology and soteriology. The Sheep and Goats vision does not teach a works-based justification: the kingdom is</w:t>
      </w:r>
      <w:r>
        <w:t xml:space="preserve"> </w:t>
      </w:r>
      <w:r>
        <w:t xml:space="preserve">“prepared from the foundation of the world”</w:t>
      </w:r>
      <w:r>
        <w:t xml:space="preserve"> </w:t>
      </w:r>
      <w:r>
        <w:t xml:space="preserve">(v. 34) — election language — and the righteous</w:t>
      </w:r>
      <w:r>
        <w:t xml:space="preserve"> </w:t>
      </w:r>
      <w:r>
        <w:rPr>
          <w:i/>
          <w:iCs/>
        </w:rPr>
        <w:t xml:space="preserve">inherit</w:t>
      </w:r>
      <w:r>
        <w:t xml:space="preserve"> </w:t>
      </w:r>
      <w:r>
        <w:t xml:space="preserve">it, they do not earn it. The works of love are the fruit of genuine faith, not its basis; the righteous themselves are surprised, indicating they were not performing calculated acts of merit-accumulation. This is precisely the Reformed ordo salutis: election, grace, faith, and the inevitability of genuine love as its fruit. The Talents parable reinforces Reformed stewardship theology: nothing belongs to the servant; all is entrusted; deployment is faithful use of grace, not self-generated achievement. The chapter as a whole advances the Reformed understanding that the Christian life is lived</w:t>
      </w:r>
      <w:r>
        <w:t xml:space="preserve"> </w:t>
      </w:r>
      <w:r>
        <w:rPr>
          <w:i/>
          <w:iCs/>
        </w:rPr>
        <w:t xml:space="preserve">coram Deo</w:t>
      </w:r>
      <w:r>
        <w:t xml:space="preserve"> </w:t>
      </w:r>
      <w:r>
        <w:t xml:space="preserve">— before the face of God — with a permanent eschatological horizon: the King is coming, the accounting is real, and present faithfulness is not a matter of earning grace but of living as those who have already received it and will one day give account of what they did with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door will close. The accounting will come. The King will render His verdict — and both the sheep and the goats will be surprised by how thoroughly He identified Himself with His people and how seriously He took the stewardship of the waiting period. The time to be prepared, faithful, and actively loving is not later — it is now, in the long, unglamorous, ordinary days before the midnight cry. Stop assuming you are ready. Find out. And live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Matthew 25 primarily as an eschatological road map rather than a pastoral appeal.</w:t>
      </w:r>
      <w:r>
        <w:t xml:space="preserve"> </w:t>
      </w:r>
      <w:r>
        <w:t xml:space="preserve">The chapter is frequently preached as a prediction of end-times events — Who are the virgins? Who are the sheep? Where does the Rapture fit? — rather than as Jesus’ sustained appeal to His disciples for present-tense faithfulness. The eschatological framework is real and significant, but it is the</w:t>
      </w:r>
      <w:r>
        <w:t xml:space="preserve"> </w:t>
      </w:r>
      <w:r>
        <w:rPr>
          <w:i/>
          <w:iCs/>
        </w:rPr>
        <w:t xml:space="preserve">vehicle</w:t>
      </w:r>
      <w:r>
        <w:t xml:space="preserve"> </w:t>
      </w:r>
      <w:r>
        <w:t xml:space="preserve">of the appeal, not its</w:t>
      </w:r>
      <w:r>
        <w:t xml:space="preserve"> </w:t>
      </w:r>
      <w:r>
        <w:rPr>
          <w:i/>
          <w:iCs/>
        </w:rPr>
        <w:t xml:space="preserve">destination</w:t>
      </w:r>
      <w:r>
        <w:t xml:space="preserve">. Preachers who spend most of their time on prophetic logistics will miss the entire pastoral intent of the chapter.</w:t>
      </w:r>
    </w:p>
    <w:p>
      <w:pPr>
        <w:numPr>
          <w:ilvl w:val="0"/>
          <w:numId w:val="1002"/>
        </w:numPr>
      </w:pPr>
      <w:r>
        <w:rPr>
          <w:b/>
          <w:bCs/>
        </w:rPr>
        <w:t xml:space="preserve">Universalizing</w:t>
      </w:r>
      <w:r>
        <w:rPr>
          <w:b/>
          <w:bCs/>
        </w:rPr>
        <w:t xml:space="preserve"> </w:t>
      </w:r>
      <w:r>
        <w:rPr>
          <w:b/>
          <w:bCs/>
        </w:rPr>
        <w:t xml:space="preserve">“the least of these”</w:t>
      </w:r>
      <w:r>
        <w:rPr>
          <w:b/>
          <w:bCs/>
        </w:rPr>
        <w:t xml:space="preserve"> </w:t>
      </w:r>
      <w:r>
        <w:rPr>
          <w:b/>
          <w:bCs/>
        </w:rPr>
        <w:t xml:space="preserve">beyond what the text supports.</w:t>
      </w:r>
      <w:r>
        <w:t xml:space="preserve"> </w:t>
      </w:r>
      <w:r>
        <w:t xml:space="preserve">The humanitarian application of vv. 40 and 45 is homiletically attractive and pastorally useful — care for the suffering is genuinely Christian. But grounding that care in a misreading of this specific text (claiming that Christ is mystically present in all human suffering) imports a theology Matthew does not teach here and severs the passage from its Christological and ecclesiological specificity. Preach the passage’s actual claim and build care for general human need from other texts that support it.</w:t>
      </w:r>
    </w:p>
    <w:p>
      <w:pPr>
        <w:numPr>
          <w:ilvl w:val="0"/>
          <w:numId w:val="1002"/>
        </w:numPr>
      </w:pPr>
      <w:r>
        <w:rPr>
          <w:b/>
          <w:bCs/>
        </w:rPr>
        <w:t xml:space="preserve">Moralizing the Talents parable as a productivity lecture.</w:t>
      </w:r>
      <w:r>
        <w:t xml:space="preserve"> </w:t>
      </w:r>
      <w:r>
        <w:t xml:space="preserve">“God has given you gifts — use them!”</w:t>
      </w:r>
      <w:r>
        <w:t xml:space="preserve"> </w:t>
      </w:r>
      <w:r>
        <w:t xml:space="preserve">is not the parable’s primary claim. The parable diagnoses the theological root of failure (a false view of the master) and calls for gospel-motivated deployment rather than fear-driven burial. Reducing it to a self-improvement call to maximize your abilities misses both the theological diagnosis and the gospel cure. The third servant’s problem was not laziness but a wrong theology of grace.</w:t>
      </w:r>
    </w:p>
    <w:p>
      <w:pPr>
        <w:numPr>
          <w:ilvl w:val="0"/>
          <w:numId w:val="1002"/>
        </w:numPr>
      </w:pPr>
      <w:r>
        <w:rPr>
          <w:b/>
          <w:bCs/>
        </w:rPr>
        <w:t xml:space="preserve">Separating the three units and preaching them independently without their cumulative force.</w:t>
      </w:r>
      <w:r>
        <w:t xml:space="preserve"> </w:t>
      </w:r>
      <w:r>
        <w:t xml:space="preserve">Matthew 25 is a unified discourse building toward verse 46. Each parable answers a different dimension of the same question: What does faithful waiting look like? Preaching only one unit risks losing the totality of what Jesus is demanding — preparedness, faithfulness,</w:t>
      </w:r>
      <w:r>
        <w:t xml:space="preserve"> </w:t>
      </w:r>
      <w:r>
        <w:rPr>
          <w:i/>
          <w:iCs/>
        </w:rPr>
        <w:t xml:space="preserve">and</w:t>
      </w:r>
      <w:r>
        <w:t xml:space="preserve"> </w:t>
      </w:r>
      <w:r>
        <w:t xml:space="preserve">love. The chapter’s design requires that all three be felt together.</w:t>
      </w:r>
    </w:p>
    <w:p>
      <w:pPr>
        <w:numPr>
          <w:ilvl w:val="0"/>
          <w:numId w:val="1002"/>
        </w:numPr>
      </w:pPr>
      <w:r>
        <w:rPr>
          <w:b/>
          <w:bCs/>
        </w:rPr>
        <w:t xml:space="preserve">Softening the finality of the door closing and the verdict of</w:t>
      </w:r>
      <w:r>
        <w:rPr>
          <w:b/>
          <w:bCs/>
        </w:rPr>
        <w:t xml:space="preserve"> </w:t>
      </w:r>
      <w:r>
        <w:rPr>
          <w:b/>
          <w:bCs/>
        </w:rPr>
        <w:t xml:space="preserve">“depart from me.”</w:t>
      </w:r>
      <w:r>
        <w:t xml:space="preserve"> </w:t>
      </w:r>
      <w:r>
        <w:t xml:space="preserve">The chapter’s urgency depends entirely on its verdicts being real, permanent, and possible for those who are currently assuming they are safe. Preaching that domesticates the closed door or treats</w:t>
      </w:r>
      <w:r>
        <w:t xml:space="preserve"> </w:t>
      </w:r>
      <w:r>
        <w:t xml:space="preserve">“I do not know you”</w:t>
      </w:r>
      <w:r>
        <w:t xml:space="preserve"> </w:t>
      </w:r>
      <w:r>
        <w:t xml:space="preserve">as a hypothetical loses the precise instrument by which Jesus creates holy urgency. The shock of both the foolish virgins and the condemned goats — people who had surface-level association with the King — is the point. It must not be preached away.</w:t>
      </w:r>
    </w:p>
    <w:p>
      <w:pPr>
        <w:numPr>
          <w:ilvl w:val="0"/>
          <w:numId w:val="1002"/>
        </w:numPr>
      </w:pPr>
      <w:r>
        <w:rPr>
          <w:b/>
          <w:bCs/>
        </w:rPr>
        <w:t xml:space="preserve">Treating the sheep’s surprise (vv. 37–39) as evidence that salvation is unconscious or that non-Christians who live generously are automatically included.</w:t>
      </w:r>
      <w:r>
        <w:t xml:space="preserve"> </w:t>
      </w:r>
      <w:r>
        <w:t xml:space="preserve">The surprise of the righteous is not surprise at</w:t>
      </w:r>
      <w:r>
        <w:t xml:space="preserve"> </w:t>
      </w:r>
      <w:r>
        <w:rPr>
          <w:i/>
          <w:iCs/>
        </w:rPr>
        <w:t xml:space="preserve">being saved</w:t>
      </w:r>
      <w:r>
        <w:t xml:space="preserve"> </w:t>
      </w:r>
      <w:r>
        <w:t xml:space="preserve">but surprise at the specific accounting — they did not consciously catalog their care for Christ’s brothers as care for Christ Himself. The passage does not teach universal salvation for humanitarian humanists; the</w:t>
      </w:r>
      <w:r>
        <w:t xml:space="preserve"> </w:t>
      </w:r>
      <w:r>
        <w:t xml:space="preserve">“nations”</w:t>
      </w:r>
      <w:r>
        <w:t xml:space="preserve"> </w:t>
      </w:r>
      <w:r>
        <w:t xml:space="preserve">are gathered and separated by their relationship to the King as expressed through their treatment of the King’s people. The surprise is a detail about the nature of genuine love (it does not calculate), not a statement about the breadth of salvation.</w:t>
      </w:r>
    </w:p>
    <w:p>
      <w:r>
        <w:pict>
          <v:rect style="width:0;height:1.5pt" o:hralign="center" o:hrstd="t" o:hr="t"/>
        </w:pict>
      </w:r>
    </w:p>
    <w:p>
      <w:pPr>
        <w:pStyle w:val="FirstParagraph"/>
      </w:pPr>
      <w:r>
        <w:rPr>
          <w:i/>
          <w:iCs/>
        </w:rPr>
        <w:t xml:space="preserve">Generated under CLAUDE2.md framework. Document: 40 Matthew 25.docx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2026-07-14T21:07:12Z</dcterms:created>
  <dcterms:modified xsi:type="dcterms:W3CDTF">2026-07-14T21:07:12Z</dcterms:modified>
</cp:coreProperties>
</file>

<file path=docProps/custom.xml><?xml version="1.0" encoding="utf-8"?>
<Properties xmlns="http://schemas.openxmlformats.org/officeDocument/2006/custom-properties" xmlns:vt="http://schemas.openxmlformats.org/officeDocument/2006/docPropsVTypes"/>
</file>